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9E" w:rsidRDefault="004A5847" w:rsidP="00174374">
      <w:pPr>
        <w:jc w:val="center"/>
      </w:pPr>
      <w:r>
        <w:rPr>
          <w:noProof/>
          <w:lang w:eastAsia="en-ZA"/>
        </w:rPr>
        <w:drawing>
          <wp:inline distT="0" distB="0" distL="0" distR="0">
            <wp:extent cx="2438400" cy="784336"/>
            <wp:effectExtent l="0" t="0" r="0" b="0"/>
            <wp:docPr id="1" name="Picture 1" descr="C:\Users\CAadmin\Desktop\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admin\Desktop\CA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057" cy="785191"/>
                    </a:xfrm>
                    <a:prstGeom prst="rect">
                      <a:avLst/>
                    </a:prstGeom>
                    <a:noFill/>
                    <a:ln>
                      <a:noFill/>
                    </a:ln>
                  </pic:spPr>
                </pic:pic>
              </a:graphicData>
            </a:graphic>
          </wp:inline>
        </w:drawing>
      </w:r>
    </w:p>
    <w:p w:rsidR="00C12057" w:rsidRPr="00640C5E" w:rsidRDefault="00C12057" w:rsidP="002F2522">
      <w:pPr>
        <w:jc w:val="center"/>
        <w:rPr>
          <w:rFonts w:ascii="Century Gothic" w:hAnsi="Century Gothic" w:cs="Arial"/>
          <w:b/>
          <w:sz w:val="28"/>
          <w:szCs w:val="28"/>
          <w:lang w:val="af-ZA"/>
        </w:rPr>
      </w:pPr>
      <w:r w:rsidRPr="00640C5E">
        <w:rPr>
          <w:rFonts w:ascii="Century Gothic" w:hAnsi="Century Gothic" w:cs="Arial"/>
          <w:b/>
          <w:sz w:val="28"/>
          <w:szCs w:val="28"/>
          <w:lang w:val="af-ZA"/>
        </w:rPr>
        <w:t>PUBLIC HEARING NOTICE</w:t>
      </w:r>
      <w:bookmarkStart w:id="0" w:name="_GoBack"/>
      <w:bookmarkEnd w:id="0"/>
    </w:p>
    <w:p w:rsidR="004C6632" w:rsidRPr="004C6632" w:rsidRDefault="004C6632" w:rsidP="004C6632">
      <w:pPr>
        <w:jc w:val="both"/>
        <w:rPr>
          <w:rFonts w:ascii="Century Gothic" w:hAnsi="Century Gothic" w:cs="Arial"/>
          <w:b/>
          <w:sz w:val="24"/>
          <w:szCs w:val="24"/>
        </w:rPr>
      </w:pPr>
      <w:r w:rsidRPr="004C6632">
        <w:rPr>
          <w:rFonts w:ascii="Century Gothic" w:hAnsi="Century Gothic" w:cs="Arial"/>
          <w:b/>
          <w:sz w:val="24"/>
          <w:szCs w:val="24"/>
        </w:rPr>
        <w:t xml:space="preserve">THE </w:t>
      </w:r>
      <w:r w:rsidRPr="004C6632">
        <w:rPr>
          <w:rFonts w:ascii="Century Gothic" w:hAnsi="Century Gothic" w:cs="Arial"/>
          <w:b/>
          <w:sz w:val="24"/>
          <w:szCs w:val="24"/>
          <w:lang w:val="en-GB"/>
        </w:rPr>
        <w:t>PROPOSED ACQUISITION OF THE ENTIRE ISSUED AND TO BE ISSUED SHARE CAPITAL OF SABMILLER PLC (</w:t>
      </w:r>
      <w:r w:rsidR="00824578">
        <w:rPr>
          <w:rFonts w:ascii="Century Gothic" w:hAnsi="Century Gothic" w:cs="Arial"/>
          <w:b/>
          <w:sz w:val="24"/>
          <w:szCs w:val="24"/>
          <w:lang w:val="en-GB"/>
        </w:rPr>
        <w:t>"</w:t>
      </w:r>
      <w:r w:rsidRPr="004C6632">
        <w:rPr>
          <w:rFonts w:ascii="Century Gothic" w:hAnsi="Century Gothic" w:cs="Arial"/>
          <w:b/>
          <w:sz w:val="24"/>
          <w:szCs w:val="24"/>
          <w:lang w:val="en-GB"/>
        </w:rPr>
        <w:t>SABMiller</w:t>
      </w:r>
      <w:r w:rsidR="00824578">
        <w:rPr>
          <w:rFonts w:ascii="Century Gothic" w:hAnsi="Century Gothic" w:cs="Arial"/>
          <w:b/>
          <w:sz w:val="24"/>
          <w:szCs w:val="24"/>
          <w:lang w:val="en-GB"/>
        </w:rPr>
        <w:t>"</w:t>
      </w:r>
      <w:r w:rsidRPr="004C6632">
        <w:rPr>
          <w:rFonts w:ascii="Century Gothic" w:hAnsi="Century Gothic" w:cs="Arial"/>
          <w:b/>
          <w:sz w:val="24"/>
          <w:szCs w:val="24"/>
          <w:lang w:val="en-GB"/>
        </w:rPr>
        <w:t>) BY ANHEUSER-BUSCH INBEV SA/NV (</w:t>
      </w:r>
      <w:r w:rsidR="00824578">
        <w:rPr>
          <w:rFonts w:ascii="Century Gothic" w:hAnsi="Century Gothic" w:cs="Arial"/>
          <w:b/>
          <w:sz w:val="24"/>
          <w:szCs w:val="24"/>
          <w:lang w:val="en-GB"/>
        </w:rPr>
        <w:t>"</w:t>
      </w:r>
      <w:r w:rsidRPr="004C6632">
        <w:rPr>
          <w:rFonts w:ascii="Century Gothic" w:hAnsi="Century Gothic" w:cs="Arial"/>
          <w:b/>
          <w:sz w:val="24"/>
          <w:szCs w:val="24"/>
          <w:lang w:val="en-GB"/>
        </w:rPr>
        <w:t xml:space="preserve">AB </w:t>
      </w:r>
      <w:proofErr w:type="spellStart"/>
      <w:r w:rsidRPr="004C6632">
        <w:rPr>
          <w:rFonts w:ascii="Century Gothic" w:hAnsi="Century Gothic" w:cs="Arial"/>
          <w:b/>
          <w:sz w:val="24"/>
          <w:szCs w:val="24"/>
          <w:lang w:val="en-GB"/>
        </w:rPr>
        <w:t>InBev</w:t>
      </w:r>
      <w:proofErr w:type="spellEnd"/>
      <w:r w:rsidR="00824578">
        <w:rPr>
          <w:rFonts w:ascii="Century Gothic" w:hAnsi="Century Gothic" w:cs="Arial"/>
          <w:b/>
          <w:sz w:val="24"/>
          <w:szCs w:val="24"/>
          <w:lang w:val="en-GB"/>
        </w:rPr>
        <w:t>"</w:t>
      </w:r>
      <w:r w:rsidRPr="004C6632">
        <w:rPr>
          <w:rFonts w:ascii="Century Gothic" w:hAnsi="Century Gothic" w:cs="Arial"/>
          <w:b/>
          <w:sz w:val="24"/>
          <w:szCs w:val="24"/>
          <w:lang w:val="en-GB"/>
        </w:rPr>
        <w:t>)</w:t>
      </w:r>
    </w:p>
    <w:p w:rsidR="004C6632" w:rsidRDefault="00C12057" w:rsidP="00E818C5">
      <w:pPr>
        <w:jc w:val="both"/>
        <w:rPr>
          <w:rFonts w:ascii="Century Gothic" w:hAnsi="Century Gothic" w:cs="Arial"/>
          <w:sz w:val="24"/>
          <w:szCs w:val="24"/>
          <w:lang w:val="af-ZA"/>
        </w:rPr>
      </w:pPr>
      <w:r w:rsidRPr="00C12057">
        <w:rPr>
          <w:rFonts w:ascii="Century Gothic" w:hAnsi="Century Gothic" w:cs="Arial"/>
          <w:sz w:val="24"/>
          <w:szCs w:val="24"/>
          <w:lang w:val="af-ZA"/>
        </w:rPr>
        <w:t xml:space="preserve">Pursuant to section 58(1) of the Competition Act (Cap 46:09), the Competition Authority hereby invites members of the public to a hearing in relation to the proposed </w:t>
      </w:r>
      <w:r w:rsidR="004C6632" w:rsidRPr="004C6632">
        <w:rPr>
          <w:rFonts w:ascii="Century Gothic" w:hAnsi="Century Gothic" w:cs="Arial"/>
          <w:sz w:val="24"/>
          <w:szCs w:val="24"/>
          <w:lang w:val="af-ZA"/>
        </w:rPr>
        <w:t xml:space="preserve">acquisition of the entire issued and to be issued </w:t>
      </w:r>
      <w:r w:rsidR="00824578">
        <w:rPr>
          <w:rFonts w:ascii="Century Gothic" w:hAnsi="Century Gothic" w:cs="Arial"/>
          <w:sz w:val="24"/>
          <w:szCs w:val="24"/>
          <w:lang w:val="af-ZA"/>
        </w:rPr>
        <w:t xml:space="preserve"> </w:t>
      </w:r>
      <w:r w:rsidR="004C6632" w:rsidRPr="004C6632">
        <w:rPr>
          <w:rFonts w:ascii="Century Gothic" w:hAnsi="Century Gothic" w:cs="Arial"/>
          <w:sz w:val="24"/>
          <w:szCs w:val="24"/>
          <w:lang w:val="af-ZA"/>
        </w:rPr>
        <w:t xml:space="preserve">share capital in SABMiller by </w:t>
      </w:r>
      <w:r w:rsidR="00FC2859">
        <w:rPr>
          <w:rFonts w:ascii="Century Gothic" w:hAnsi="Century Gothic" w:cs="Arial"/>
          <w:sz w:val="24"/>
          <w:szCs w:val="24"/>
          <w:lang w:val="af-ZA"/>
        </w:rPr>
        <w:t>AB InBev</w:t>
      </w:r>
      <w:r w:rsidR="004C6632" w:rsidRPr="004C6632">
        <w:rPr>
          <w:rFonts w:ascii="Century Gothic" w:hAnsi="Century Gothic" w:cs="Arial"/>
          <w:sz w:val="24"/>
          <w:szCs w:val="24"/>
          <w:lang w:val="af-ZA"/>
        </w:rPr>
        <w:t>.</w:t>
      </w:r>
    </w:p>
    <w:p w:rsidR="00E818C5" w:rsidRDefault="00E818C5" w:rsidP="00E818C5">
      <w:pPr>
        <w:jc w:val="both"/>
        <w:rPr>
          <w:rFonts w:ascii="Century Gothic" w:hAnsi="Century Gothic" w:cs="Arial"/>
          <w:sz w:val="24"/>
          <w:szCs w:val="24"/>
          <w:lang w:val="af-ZA"/>
        </w:rPr>
      </w:pPr>
      <w:r w:rsidRPr="00174374">
        <w:rPr>
          <w:rFonts w:ascii="Century Gothic" w:hAnsi="Century Gothic" w:cs="Arial"/>
          <w:sz w:val="24"/>
          <w:szCs w:val="24"/>
          <w:lang w:val="af-ZA"/>
        </w:rPr>
        <w:t xml:space="preserve">The hearing will be held </w:t>
      </w:r>
      <w:r>
        <w:rPr>
          <w:rFonts w:ascii="Century Gothic" w:hAnsi="Century Gothic" w:cs="Arial"/>
          <w:sz w:val="24"/>
          <w:szCs w:val="24"/>
          <w:lang w:val="af-ZA"/>
        </w:rPr>
        <w:t xml:space="preserve">at the Competition Authority offices on </w:t>
      </w:r>
      <w:r w:rsidR="00833321">
        <w:rPr>
          <w:rFonts w:ascii="Century Gothic" w:hAnsi="Century Gothic" w:cs="Arial"/>
          <w:b/>
          <w:sz w:val="24"/>
          <w:szCs w:val="24"/>
          <w:lang w:val="af-ZA"/>
        </w:rPr>
        <w:t>5</w:t>
      </w:r>
      <w:r w:rsidRPr="00640C5E">
        <w:rPr>
          <w:rFonts w:ascii="Century Gothic" w:hAnsi="Century Gothic" w:cs="Arial"/>
          <w:b/>
          <w:sz w:val="24"/>
          <w:szCs w:val="24"/>
          <w:vertAlign w:val="superscript"/>
          <w:lang w:val="af-ZA"/>
        </w:rPr>
        <w:t>th</w:t>
      </w:r>
      <w:r w:rsidR="00833321">
        <w:rPr>
          <w:rFonts w:ascii="Century Gothic" w:hAnsi="Century Gothic" w:cs="Arial"/>
          <w:b/>
          <w:sz w:val="24"/>
          <w:szCs w:val="24"/>
          <w:lang w:val="af-ZA"/>
        </w:rPr>
        <w:t>April</w:t>
      </w:r>
      <w:r w:rsidRPr="00640C5E">
        <w:rPr>
          <w:rFonts w:ascii="Century Gothic" w:hAnsi="Century Gothic" w:cs="Arial"/>
          <w:b/>
          <w:sz w:val="24"/>
          <w:szCs w:val="24"/>
          <w:lang w:val="af-ZA"/>
        </w:rPr>
        <w:t>, 201</w:t>
      </w:r>
      <w:r w:rsidR="004C6632">
        <w:rPr>
          <w:rFonts w:ascii="Century Gothic" w:hAnsi="Century Gothic" w:cs="Arial"/>
          <w:b/>
          <w:sz w:val="24"/>
          <w:szCs w:val="24"/>
          <w:lang w:val="af-ZA"/>
        </w:rPr>
        <w:t>6</w:t>
      </w:r>
      <w:r w:rsidRPr="00174374">
        <w:rPr>
          <w:rFonts w:ascii="Century Gothic" w:hAnsi="Century Gothic" w:cs="Arial"/>
          <w:sz w:val="24"/>
          <w:szCs w:val="24"/>
          <w:lang w:val="af-ZA"/>
        </w:rPr>
        <w:t xml:space="preserve">, at Plot 28, Matsitama Road, Old BEDIA Building at </w:t>
      </w:r>
      <w:r w:rsidR="00833321">
        <w:rPr>
          <w:rFonts w:ascii="Century Gothic" w:hAnsi="Century Gothic" w:cs="Arial"/>
          <w:b/>
          <w:sz w:val="24"/>
          <w:szCs w:val="24"/>
          <w:lang w:val="af-ZA"/>
        </w:rPr>
        <w:t>09</w:t>
      </w:r>
      <w:r w:rsidRPr="00532968">
        <w:rPr>
          <w:rFonts w:ascii="Century Gothic" w:hAnsi="Century Gothic" w:cs="Arial"/>
          <w:b/>
          <w:sz w:val="24"/>
          <w:szCs w:val="24"/>
          <w:lang w:val="af-ZA"/>
        </w:rPr>
        <w:t>:30 hrs</w:t>
      </w:r>
      <w:r w:rsidRPr="00174374">
        <w:rPr>
          <w:rFonts w:ascii="Century Gothic" w:hAnsi="Century Gothic" w:cs="Arial"/>
          <w:sz w:val="24"/>
          <w:szCs w:val="24"/>
          <w:lang w:val="af-ZA"/>
        </w:rPr>
        <w:t>.</w:t>
      </w:r>
      <w:r w:rsidRPr="00C12057">
        <w:rPr>
          <w:rFonts w:ascii="Century Gothic" w:hAnsi="Century Gothic" w:cs="Arial"/>
          <w:sz w:val="24"/>
          <w:szCs w:val="24"/>
          <w:lang w:val="af-ZA"/>
        </w:rPr>
        <w:t xml:space="preserve">The hearing will be held with each of the parties to the transaction and other interested parties, pursuant to section 58(3)(a) of the Competition Act. The hearing is intended to allow the parties to the transaction to make </w:t>
      </w:r>
      <w:r w:rsidR="00824578">
        <w:rPr>
          <w:rFonts w:ascii="Century Gothic" w:hAnsi="Century Gothic" w:cs="Arial"/>
          <w:sz w:val="24"/>
          <w:szCs w:val="24"/>
          <w:lang w:val="af-ZA"/>
        </w:rPr>
        <w:t>oral</w:t>
      </w:r>
      <w:r w:rsidR="00824578" w:rsidRPr="00C12057">
        <w:rPr>
          <w:rFonts w:ascii="Century Gothic" w:hAnsi="Century Gothic" w:cs="Arial"/>
          <w:sz w:val="24"/>
          <w:szCs w:val="24"/>
          <w:lang w:val="af-ZA"/>
        </w:rPr>
        <w:t xml:space="preserve"> </w:t>
      </w:r>
      <w:r w:rsidRPr="00C12057">
        <w:rPr>
          <w:rFonts w:ascii="Century Gothic" w:hAnsi="Century Gothic" w:cs="Arial"/>
          <w:sz w:val="24"/>
          <w:szCs w:val="24"/>
          <w:lang w:val="af-ZA"/>
        </w:rPr>
        <w:t>representations to the Authority with respect to the transaction</w:t>
      </w:r>
      <w:r>
        <w:rPr>
          <w:rFonts w:ascii="Century Gothic" w:hAnsi="Century Gothic" w:cs="Arial"/>
          <w:sz w:val="24"/>
          <w:szCs w:val="24"/>
          <w:lang w:val="af-ZA"/>
        </w:rPr>
        <w:t>,</w:t>
      </w:r>
      <w:r w:rsidRPr="00C12057">
        <w:rPr>
          <w:rFonts w:ascii="Century Gothic" w:hAnsi="Century Gothic" w:cs="Arial"/>
          <w:sz w:val="24"/>
          <w:szCs w:val="24"/>
          <w:lang w:val="af-ZA"/>
        </w:rPr>
        <w:t xml:space="preserve"> as well as allow their competitors </w:t>
      </w:r>
      <w:r>
        <w:rPr>
          <w:rFonts w:ascii="Century Gothic" w:hAnsi="Century Gothic" w:cs="Arial"/>
          <w:sz w:val="24"/>
          <w:szCs w:val="24"/>
          <w:lang w:val="af-ZA"/>
        </w:rPr>
        <w:t xml:space="preserve">and the general public </w:t>
      </w:r>
      <w:r w:rsidRPr="00C12057">
        <w:rPr>
          <w:rFonts w:ascii="Century Gothic" w:hAnsi="Century Gothic" w:cs="Arial"/>
          <w:sz w:val="24"/>
          <w:szCs w:val="24"/>
          <w:lang w:val="af-ZA"/>
        </w:rPr>
        <w:t xml:space="preserve">to express their views on the acquisition. </w:t>
      </w:r>
    </w:p>
    <w:p w:rsidR="00E818C5" w:rsidRPr="00C12057" w:rsidRDefault="00E818C5" w:rsidP="00C12057">
      <w:pPr>
        <w:jc w:val="both"/>
        <w:rPr>
          <w:rFonts w:ascii="Century Gothic" w:hAnsi="Century Gothic" w:cs="Arial"/>
          <w:sz w:val="24"/>
          <w:szCs w:val="24"/>
          <w:lang w:val="af-ZA"/>
        </w:rPr>
      </w:pPr>
      <w:r w:rsidRPr="00C12057">
        <w:rPr>
          <w:rFonts w:ascii="Century Gothic" w:hAnsi="Century Gothic" w:cs="Arial"/>
          <w:sz w:val="24"/>
          <w:szCs w:val="24"/>
          <w:lang w:val="af-ZA"/>
        </w:rPr>
        <w:t xml:space="preserve">Furthermore, other interested parties not party to the proposed transaction will be </w:t>
      </w:r>
      <w:r>
        <w:rPr>
          <w:rFonts w:ascii="Century Gothic" w:hAnsi="Century Gothic" w:cs="Arial"/>
          <w:sz w:val="24"/>
          <w:szCs w:val="24"/>
          <w:lang w:val="af-ZA"/>
        </w:rPr>
        <w:t>afforded</w:t>
      </w:r>
      <w:r w:rsidRPr="00C12057">
        <w:rPr>
          <w:rFonts w:ascii="Century Gothic" w:hAnsi="Century Gothic" w:cs="Arial"/>
          <w:sz w:val="24"/>
          <w:szCs w:val="24"/>
          <w:lang w:val="af-ZA"/>
        </w:rPr>
        <w:t xml:space="preserve"> an opportunity to voluntarily submit to the </w:t>
      </w:r>
      <w:r w:rsidR="004B4AF0">
        <w:rPr>
          <w:rFonts w:ascii="Century Gothic" w:hAnsi="Century Gothic" w:cs="Arial"/>
          <w:sz w:val="24"/>
          <w:szCs w:val="24"/>
          <w:lang w:val="af-ZA"/>
        </w:rPr>
        <w:t xml:space="preserve">Competition </w:t>
      </w:r>
      <w:r w:rsidRPr="00C12057">
        <w:rPr>
          <w:rFonts w:ascii="Century Gothic" w:hAnsi="Century Gothic" w:cs="Arial"/>
          <w:sz w:val="24"/>
          <w:szCs w:val="24"/>
          <w:lang w:val="af-ZA"/>
        </w:rPr>
        <w:t xml:space="preserve">Authority any document, affidavit, statement or other relevant information in respect of </w:t>
      </w:r>
      <w:r>
        <w:rPr>
          <w:rFonts w:ascii="Century Gothic" w:hAnsi="Century Gothic" w:cs="Arial"/>
          <w:sz w:val="24"/>
          <w:szCs w:val="24"/>
          <w:lang w:val="af-ZA"/>
        </w:rPr>
        <w:t xml:space="preserve">the proposed </w:t>
      </w:r>
      <w:r w:rsidRPr="00174374">
        <w:rPr>
          <w:rFonts w:ascii="Century Gothic" w:hAnsi="Century Gothic" w:cs="Arial"/>
          <w:sz w:val="24"/>
          <w:szCs w:val="24"/>
          <w:lang w:val="af-ZA"/>
        </w:rPr>
        <w:t xml:space="preserve">acquisition. Though not mandatory, it would be preferable for those attending to submit copies of what they intend to present to the </w:t>
      </w:r>
      <w:r w:rsidR="004B4AF0">
        <w:rPr>
          <w:rFonts w:ascii="Century Gothic" w:hAnsi="Century Gothic" w:cs="Arial"/>
          <w:sz w:val="24"/>
          <w:szCs w:val="24"/>
          <w:lang w:val="af-ZA"/>
        </w:rPr>
        <w:t xml:space="preserve">Competition </w:t>
      </w:r>
      <w:r w:rsidRPr="00174374">
        <w:rPr>
          <w:rFonts w:ascii="Century Gothic" w:hAnsi="Century Gothic" w:cs="Arial"/>
          <w:sz w:val="24"/>
          <w:szCs w:val="24"/>
          <w:lang w:val="af-ZA"/>
        </w:rPr>
        <w:t>Authority no later than</w:t>
      </w:r>
      <w:r w:rsidR="008D2FAB">
        <w:rPr>
          <w:rFonts w:ascii="Century Gothic" w:hAnsi="Century Gothic" w:cs="Arial"/>
          <w:sz w:val="24"/>
          <w:szCs w:val="24"/>
          <w:lang w:val="af-ZA"/>
        </w:rPr>
        <w:t xml:space="preserve"> </w:t>
      </w:r>
      <w:r w:rsidR="00833321" w:rsidRPr="00833321">
        <w:rPr>
          <w:rFonts w:ascii="Century Gothic" w:hAnsi="Century Gothic" w:cs="Arial"/>
          <w:b/>
          <w:sz w:val="24"/>
          <w:szCs w:val="24"/>
          <w:lang w:val="af-ZA"/>
        </w:rPr>
        <w:t>3</w:t>
      </w:r>
      <w:r w:rsidR="00833321" w:rsidRPr="00833321">
        <w:rPr>
          <w:rFonts w:ascii="Century Gothic" w:hAnsi="Century Gothic" w:cs="Arial"/>
          <w:b/>
          <w:sz w:val="24"/>
          <w:szCs w:val="24"/>
          <w:vertAlign w:val="superscript"/>
          <w:lang w:val="af-ZA"/>
        </w:rPr>
        <w:t xml:space="preserve">rd </w:t>
      </w:r>
      <w:r w:rsidR="00833321">
        <w:rPr>
          <w:rFonts w:ascii="Century Gothic" w:hAnsi="Century Gothic" w:cs="Arial"/>
          <w:b/>
          <w:sz w:val="24"/>
          <w:szCs w:val="24"/>
          <w:lang w:val="af-ZA"/>
        </w:rPr>
        <w:t>April</w:t>
      </w:r>
      <w:r w:rsidRPr="00E818C5">
        <w:rPr>
          <w:rFonts w:ascii="Century Gothic" w:hAnsi="Century Gothic" w:cs="Arial"/>
          <w:b/>
          <w:sz w:val="24"/>
          <w:szCs w:val="24"/>
          <w:lang w:val="af-ZA"/>
        </w:rPr>
        <w:t>, 201</w:t>
      </w:r>
      <w:r w:rsidR="00F26AF3">
        <w:rPr>
          <w:rFonts w:ascii="Century Gothic" w:hAnsi="Century Gothic" w:cs="Arial"/>
          <w:b/>
          <w:sz w:val="24"/>
          <w:szCs w:val="24"/>
          <w:lang w:val="af-ZA"/>
        </w:rPr>
        <w:t>6</w:t>
      </w:r>
      <w:r w:rsidR="00AF4277">
        <w:rPr>
          <w:rFonts w:ascii="Century Gothic" w:hAnsi="Century Gothic" w:cs="Arial"/>
          <w:b/>
          <w:sz w:val="24"/>
          <w:szCs w:val="24"/>
          <w:lang w:val="af-ZA"/>
        </w:rPr>
        <w:t>.</w:t>
      </w:r>
    </w:p>
    <w:p w:rsidR="00F26AF3" w:rsidRPr="00F26AF3" w:rsidRDefault="00F26AF3" w:rsidP="00F26AF3">
      <w:pPr>
        <w:jc w:val="both"/>
        <w:rPr>
          <w:rFonts w:ascii="Century Gothic" w:hAnsi="Century Gothic" w:cs="Arial"/>
          <w:sz w:val="24"/>
          <w:szCs w:val="24"/>
          <w:lang w:val="en-GB"/>
        </w:rPr>
      </w:pPr>
      <w:r w:rsidRPr="00F26AF3">
        <w:rPr>
          <w:rFonts w:ascii="Century Gothic" w:hAnsi="Century Gothic" w:cs="Arial"/>
          <w:sz w:val="24"/>
          <w:szCs w:val="24"/>
          <w:lang w:val="en-GB"/>
        </w:rPr>
        <w:t xml:space="preserve">The acquiring firm, AB </w:t>
      </w:r>
      <w:proofErr w:type="spellStart"/>
      <w:r w:rsidRPr="00F26AF3">
        <w:rPr>
          <w:rFonts w:ascii="Century Gothic" w:hAnsi="Century Gothic" w:cs="Arial"/>
          <w:sz w:val="24"/>
          <w:szCs w:val="24"/>
          <w:lang w:val="en-GB"/>
        </w:rPr>
        <w:t>InBev</w:t>
      </w:r>
      <w:proofErr w:type="spellEnd"/>
      <w:r w:rsidRPr="00F26AF3">
        <w:rPr>
          <w:rFonts w:ascii="Century Gothic" w:hAnsi="Century Gothic" w:cs="Arial"/>
          <w:sz w:val="24"/>
          <w:szCs w:val="24"/>
          <w:lang w:val="en-GB"/>
        </w:rPr>
        <w:t xml:space="preserve">, is a public company incorporated under the Laws of the Kingdom of </w:t>
      </w:r>
      <w:r w:rsidR="00371EF6" w:rsidRPr="00F26AF3">
        <w:rPr>
          <w:rFonts w:ascii="Century Gothic" w:hAnsi="Century Gothic" w:cs="Arial"/>
          <w:sz w:val="24"/>
          <w:szCs w:val="24"/>
          <w:lang w:val="en-GB"/>
        </w:rPr>
        <w:t>Belgium</w:t>
      </w:r>
      <w:r w:rsidRPr="00F26AF3">
        <w:rPr>
          <w:rFonts w:ascii="Century Gothic" w:hAnsi="Century Gothic" w:cs="Arial"/>
          <w:sz w:val="24"/>
          <w:szCs w:val="24"/>
          <w:lang w:val="en-GB"/>
        </w:rPr>
        <w:t xml:space="preserve"> and is listed on Euronext Brussels </w:t>
      </w:r>
      <w:r w:rsidR="00D139B2">
        <w:rPr>
          <w:rFonts w:ascii="Century Gothic" w:hAnsi="Century Gothic" w:cs="Arial"/>
          <w:sz w:val="24"/>
          <w:szCs w:val="24"/>
          <w:lang w:val="en-GB"/>
        </w:rPr>
        <w:t>Stock Exchange, Mexican Stock Exchange, Johannesburg Stock Exchange</w:t>
      </w:r>
      <w:r w:rsidR="00FC2859">
        <w:rPr>
          <w:rFonts w:ascii="Century Gothic" w:hAnsi="Century Gothic" w:cs="Arial"/>
          <w:sz w:val="24"/>
          <w:szCs w:val="24"/>
          <w:lang w:val="en-GB"/>
        </w:rPr>
        <w:t xml:space="preserve"> </w:t>
      </w:r>
      <w:r w:rsidRPr="00F26AF3">
        <w:rPr>
          <w:rFonts w:ascii="Century Gothic" w:hAnsi="Century Gothic" w:cs="Arial"/>
          <w:sz w:val="24"/>
          <w:szCs w:val="24"/>
          <w:lang w:val="en-GB"/>
        </w:rPr>
        <w:t xml:space="preserve">and the New York Stock Exchange. AB </w:t>
      </w:r>
      <w:proofErr w:type="spellStart"/>
      <w:r w:rsidRPr="00F26AF3">
        <w:rPr>
          <w:rFonts w:ascii="Century Gothic" w:hAnsi="Century Gothic" w:cs="Arial"/>
          <w:sz w:val="24"/>
          <w:szCs w:val="24"/>
          <w:lang w:val="en-GB"/>
        </w:rPr>
        <w:t>InBev</w:t>
      </w:r>
      <w:proofErr w:type="spellEnd"/>
      <w:r w:rsidRPr="00F26AF3">
        <w:rPr>
          <w:rFonts w:ascii="Century Gothic" w:hAnsi="Century Gothic" w:cs="Arial"/>
          <w:sz w:val="24"/>
          <w:szCs w:val="24"/>
          <w:lang w:val="en-GB"/>
        </w:rPr>
        <w:t xml:space="preserve"> is controlled by </w:t>
      </w:r>
      <w:proofErr w:type="spellStart"/>
      <w:r w:rsidRPr="00F26AF3">
        <w:rPr>
          <w:rFonts w:ascii="Century Gothic" w:hAnsi="Century Gothic" w:cs="Arial"/>
          <w:sz w:val="24"/>
          <w:szCs w:val="24"/>
          <w:lang w:val="en-GB"/>
        </w:rPr>
        <w:t>Stichting</w:t>
      </w:r>
      <w:proofErr w:type="spellEnd"/>
      <w:r w:rsidRPr="00F26AF3">
        <w:rPr>
          <w:rFonts w:ascii="Century Gothic" w:hAnsi="Century Gothic" w:cs="Arial"/>
          <w:sz w:val="24"/>
          <w:szCs w:val="24"/>
          <w:lang w:val="en-GB"/>
        </w:rPr>
        <w:t xml:space="preserve"> Anheuser-Busch </w:t>
      </w:r>
      <w:proofErr w:type="spellStart"/>
      <w:r w:rsidRPr="00F26AF3">
        <w:rPr>
          <w:rFonts w:ascii="Century Gothic" w:hAnsi="Century Gothic" w:cs="Arial"/>
          <w:sz w:val="24"/>
          <w:szCs w:val="24"/>
          <w:lang w:val="en-GB"/>
        </w:rPr>
        <w:t>InBev</w:t>
      </w:r>
      <w:proofErr w:type="spellEnd"/>
      <w:r w:rsidRPr="00F26AF3">
        <w:rPr>
          <w:rFonts w:ascii="Century Gothic" w:hAnsi="Century Gothic" w:cs="Arial"/>
          <w:sz w:val="24"/>
          <w:szCs w:val="24"/>
          <w:lang w:val="en-GB"/>
        </w:rPr>
        <w:t xml:space="preserve">. AB </w:t>
      </w:r>
      <w:proofErr w:type="spellStart"/>
      <w:r w:rsidRPr="00F26AF3">
        <w:rPr>
          <w:rFonts w:ascii="Century Gothic" w:hAnsi="Century Gothic" w:cs="Arial"/>
          <w:sz w:val="24"/>
          <w:szCs w:val="24"/>
          <w:lang w:val="en-GB"/>
        </w:rPr>
        <w:t>InBev</w:t>
      </w:r>
      <w:proofErr w:type="spellEnd"/>
      <w:r w:rsidRPr="00F26AF3">
        <w:rPr>
          <w:rFonts w:ascii="Century Gothic" w:hAnsi="Century Gothic" w:cs="Arial"/>
          <w:sz w:val="24"/>
          <w:szCs w:val="24"/>
          <w:lang w:val="en-GB"/>
        </w:rPr>
        <w:t xml:space="preserve"> is active in the production, marketing and distribution of beer, non-alcoholic/near beer (i.e. low ABV) and soft drink products. AB </w:t>
      </w:r>
      <w:proofErr w:type="spellStart"/>
      <w:r w:rsidRPr="00F26AF3">
        <w:rPr>
          <w:rFonts w:ascii="Century Gothic" w:hAnsi="Century Gothic" w:cs="Arial"/>
          <w:sz w:val="24"/>
          <w:szCs w:val="24"/>
          <w:lang w:val="en-GB"/>
        </w:rPr>
        <w:t>InBev</w:t>
      </w:r>
      <w:proofErr w:type="spellEnd"/>
      <w:r w:rsidRPr="00F26AF3">
        <w:rPr>
          <w:rFonts w:ascii="Century Gothic" w:hAnsi="Century Gothic" w:cs="Arial"/>
          <w:sz w:val="24"/>
          <w:szCs w:val="24"/>
          <w:lang w:val="en-GB"/>
        </w:rPr>
        <w:t xml:space="preserve"> does not source raw materials from Botswana, does not operate a brewery in Botswana, or in Africa, and does not undertake its own distribution and sale of beer products in Botswana. Its beer products are imported and sold in Botswana through a third party distributor DGB (Pty) Ltd. These products are </w:t>
      </w:r>
      <w:r w:rsidRPr="00F26AF3">
        <w:rPr>
          <w:rFonts w:ascii="Century Gothic" w:hAnsi="Century Gothic" w:cs="Arial"/>
          <w:i/>
          <w:sz w:val="24"/>
          <w:szCs w:val="24"/>
          <w:lang w:val="en-GB"/>
        </w:rPr>
        <w:t>Corona Extra, Stella Artois, and Beck’s Blue.</w:t>
      </w:r>
      <w:r w:rsidRPr="00F26AF3">
        <w:rPr>
          <w:rFonts w:ascii="Century Gothic" w:hAnsi="Century Gothic" w:cs="Arial"/>
          <w:sz w:val="24"/>
          <w:szCs w:val="24"/>
          <w:lang w:val="en-GB"/>
        </w:rPr>
        <w:t xml:space="preserve"> DGB is a South African company engaged in distribution as well as manufacturing and marketing of wine.</w:t>
      </w:r>
    </w:p>
    <w:p w:rsidR="00F26AF3" w:rsidRPr="00F26AF3" w:rsidRDefault="00F26AF3" w:rsidP="00F26AF3">
      <w:pPr>
        <w:jc w:val="both"/>
        <w:rPr>
          <w:rFonts w:ascii="Century Gothic" w:hAnsi="Century Gothic" w:cs="Arial"/>
          <w:sz w:val="24"/>
          <w:szCs w:val="24"/>
          <w:u w:val="single"/>
          <w:lang w:val="en-GB"/>
        </w:rPr>
      </w:pPr>
      <w:r w:rsidRPr="00F26AF3">
        <w:rPr>
          <w:rFonts w:ascii="Century Gothic" w:hAnsi="Century Gothic" w:cs="Arial"/>
          <w:sz w:val="24"/>
          <w:szCs w:val="24"/>
          <w:lang w:val="en-GB"/>
        </w:rPr>
        <w:lastRenderedPageBreak/>
        <w:t xml:space="preserve">The target firm, SABMiller, is a public limited company incorporated under the Laws of England and Wales with a primary listing on the London Stock Exchange and a secondary listing on the Johannesburg Stock Exchange. No person or firm controls SABMiller, either directly or indirectly. </w:t>
      </w:r>
      <w:r w:rsidR="00371EF6" w:rsidRPr="00371EF6">
        <w:rPr>
          <w:rFonts w:ascii="Century Gothic" w:hAnsi="Century Gothic" w:cs="Arial"/>
          <w:sz w:val="24"/>
          <w:szCs w:val="24"/>
          <w:lang w:val="en-GB"/>
        </w:rPr>
        <w:t xml:space="preserve">The top 5 shareholders in SABMiller are Altria Group Inco, BEVCO LLC, Public Investment Corporation Ltd, </w:t>
      </w:r>
      <w:proofErr w:type="spellStart"/>
      <w:r w:rsidR="00371EF6" w:rsidRPr="00371EF6">
        <w:rPr>
          <w:rFonts w:ascii="Century Gothic" w:hAnsi="Century Gothic" w:cs="Arial"/>
          <w:sz w:val="24"/>
          <w:szCs w:val="24"/>
          <w:lang w:val="en-GB"/>
        </w:rPr>
        <w:t>Kulczyk</w:t>
      </w:r>
      <w:proofErr w:type="spellEnd"/>
      <w:r w:rsidR="00371EF6" w:rsidRPr="00371EF6">
        <w:rPr>
          <w:rFonts w:ascii="Century Gothic" w:hAnsi="Century Gothic" w:cs="Arial"/>
          <w:sz w:val="24"/>
          <w:szCs w:val="24"/>
          <w:lang w:val="en-GB"/>
        </w:rPr>
        <w:t xml:space="preserve"> Investments SA and BlackRock Investment Management (UK) Ltd.</w:t>
      </w:r>
      <w:r w:rsidR="00FC2859">
        <w:rPr>
          <w:rFonts w:ascii="Century Gothic" w:hAnsi="Century Gothic" w:cs="Arial"/>
          <w:sz w:val="24"/>
          <w:szCs w:val="24"/>
          <w:lang w:val="en-GB"/>
        </w:rPr>
        <w:t xml:space="preserve"> </w:t>
      </w:r>
      <w:r w:rsidRPr="00F26AF3">
        <w:rPr>
          <w:rFonts w:ascii="Century Gothic" w:hAnsi="Century Gothic" w:cs="Arial"/>
          <w:sz w:val="24"/>
          <w:szCs w:val="24"/>
          <w:lang w:val="en-GB"/>
        </w:rPr>
        <w:t xml:space="preserve">SABMiller is a multinational brewing and beverage company, headquartered in the United Kingdom. Through its subsidiaries it is engaged in the manufacture, distribution and sale of various types of beverages, including brewing and hop farming activities, and offers beer, soft drinks and other alcoholic and non-alcoholic beverages. SABMiller has operations in 75 countries across Africa, Asia, Australia, Europe, and Latin America. SABMiller operates in Botswana through </w:t>
      </w:r>
      <w:proofErr w:type="spellStart"/>
      <w:r w:rsidRPr="00F26AF3">
        <w:rPr>
          <w:rFonts w:ascii="Century Gothic" w:hAnsi="Century Gothic" w:cs="Arial"/>
          <w:sz w:val="24"/>
          <w:szCs w:val="24"/>
          <w:lang w:val="en-GB"/>
        </w:rPr>
        <w:t>Kgalagadi</w:t>
      </w:r>
      <w:proofErr w:type="spellEnd"/>
      <w:r w:rsidRPr="00F26AF3">
        <w:rPr>
          <w:rFonts w:ascii="Century Gothic" w:hAnsi="Century Gothic" w:cs="Arial"/>
          <w:sz w:val="24"/>
          <w:szCs w:val="24"/>
          <w:lang w:val="en-GB"/>
        </w:rPr>
        <w:t xml:space="preserve"> Breweries (Proprietary) Limited (“</w:t>
      </w:r>
      <w:proofErr w:type="spellStart"/>
      <w:r w:rsidRPr="00F26AF3">
        <w:rPr>
          <w:rFonts w:ascii="Century Gothic" w:hAnsi="Century Gothic" w:cs="Arial"/>
          <w:b/>
          <w:sz w:val="24"/>
          <w:szCs w:val="24"/>
          <w:lang w:val="en-GB"/>
        </w:rPr>
        <w:t>Kgalagadi</w:t>
      </w:r>
      <w:proofErr w:type="spellEnd"/>
      <w:r w:rsidRPr="00F26AF3">
        <w:rPr>
          <w:rFonts w:ascii="Century Gothic" w:hAnsi="Century Gothic" w:cs="Arial"/>
          <w:b/>
          <w:sz w:val="24"/>
          <w:szCs w:val="24"/>
          <w:lang w:val="en-GB"/>
        </w:rPr>
        <w:t xml:space="preserve"> Breweries</w:t>
      </w:r>
      <w:r w:rsidRPr="00F26AF3">
        <w:rPr>
          <w:rFonts w:ascii="Century Gothic" w:hAnsi="Century Gothic" w:cs="Arial"/>
          <w:sz w:val="24"/>
          <w:szCs w:val="24"/>
          <w:lang w:val="en-GB"/>
        </w:rPr>
        <w:t xml:space="preserve">”). </w:t>
      </w:r>
      <w:proofErr w:type="spellStart"/>
      <w:r w:rsidRPr="00F26AF3">
        <w:rPr>
          <w:rFonts w:ascii="Century Gothic" w:hAnsi="Century Gothic" w:cs="Arial"/>
          <w:sz w:val="24"/>
          <w:szCs w:val="24"/>
          <w:lang w:val="en-GB"/>
        </w:rPr>
        <w:t>Kgalagadi</w:t>
      </w:r>
      <w:proofErr w:type="spellEnd"/>
      <w:r w:rsidRPr="00F26AF3">
        <w:rPr>
          <w:rFonts w:ascii="Century Gothic" w:hAnsi="Century Gothic" w:cs="Arial"/>
          <w:sz w:val="24"/>
          <w:szCs w:val="24"/>
          <w:lang w:val="en-GB"/>
        </w:rPr>
        <w:t xml:space="preserve"> Breweries produces and distributes beer and non-alcoholic beverages. </w:t>
      </w:r>
    </w:p>
    <w:p w:rsidR="00C12057" w:rsidRPr="00C12057" w:rsidRDefault="00C12057" w:rsidP="00C12057">
      <w:pPr>
        <w:jc w:val="both"/>
        <w:rPr>
          <w:rFonts w:ascii="Century Gothic" w:hAnsi="Century Gothic" w:cs="Arial"/>
          <w:sz w:val="24"/>
          <w:szCs w:val="24"/>
          <w:lang w:val="af-ZA"/>
        </w:rPr>
      </w:pPr>
      <w:r w:rsidRPr="00C12057">
        <w:rPr>
          <w:rFonts w:ascii="Century Gothic" w:hAnsi="Century Gothic" w:cs="Arial"/>
          <w:sz w:val="24"/>
          <w:szCs w:val="24"/>
          <w:lang w:val="af-ZA"/>
        </w:rPr>
        <w:t xml:space="preserve">Post implementation of the proposed </w:t>
      </w:r>
      <w:r w:rsidR="00D3185F">
        <w:rPr>
          <w:rFonts w:ascii="Century Gothic" w:hAnsi="Century Gothic" w:cs="Arial"/>
          <w:sz w:val="24"/>
          <w:szCs w:val="24"/>
          <w:lang w:val="af-ZA"/>
        </w:rPr>
        <w:t>acquistition</w:t>
      </w:r>
      <w:r w:rsidRPr="00C12057">
        <w:rPr>
          <w:rFonts w:ascii="Century Gothic" w:hAnsi="Century Gothic" w:cs="Arial"/>
          <w:sz w:val="24"/>
          <w:szCs w:val="24"/>
          <w:lang w:val="af-ZA"/>
        </w:rPr>
        <w:t xml:space="preserve">, </w:t>
      </w:r>
      <w:r w:rsidR="00B9105D">
        <w:rPr>
          <w:rFonts w:ascii="Century Gothic" w:hAnsi="Century Gothic" w:cs="Arial"/>
          <w:sz w:val="24"/>
          <w:szCs w:val="24"/>
          <w:lang w:val="af-ZA"/>
        </w:rPr>
        <w:t>AB In</w:t>
      </w:r>
      <w:r>
        <w:rPr>
          <w:rFonts w:ascii="Century Gothic" w:hAnsi="Century Gothic" w:cs="Arial"/>
          <w:sz w:val="24"/>
          <w:szCs w:val="24"/>
          <w:lang w:val="af-ZA"/>
        </w:rPr>
        <w:t>B</w:t>
      </w:r>
      <w:r w:rsidR="00B9105D">
        <w:rPr>
          <w:rFonts w:ascii="Century Gothic" w:hAnsi="Century Gothic" w:cs="Arial"/>
          <w:sz w:val="24"/>
          <w:szCs w:val="24"/>
          <w:lang w:val="af-ZA"/>
        </w:rPr>
        <w:t>ev</w:t>
      </w:r>
      <w:r w:rsidR="00D3185F">
        <w:rPr>
          <w:rFonts w:ascii="Century Gothic" w:hAnsi="Century Gothic" w:cs="Arial"/>
          <w:sz w:val="24"/>
          <w:szCs w:val="24"/>
          <w:lang w:val="af-ZA"/>
        </w:rPr>
        <w:t xml:space="preserve"> </w:t>
      </w:r>
      <w:r w:rsidR="00AB304E">
        <w:rPr>
          <w:rFonts w:ascii="Century Gothic" w:hAnsi="Century Gothic" w:cs="Arial"/>
          <w:sz w:val="24"/>
          <w:szCs w:val="24"/>
          <w:lang w:val="af-ZA"/>
        </w:rPr>
        <w:t>will</w:t>
      </w:r>
      <w:r w:rsidRPr="00C12057">
        <w:rPr>
          <w:rFonts w:ascii="Century Gothic" w:hAnsi="Century Gothic" w:cs="Arial"/>
          <w:sz w:val="24"/>
          <w:szCs w:val="24"/>
          <w:lang w:val="af-ZA"/>
        </w:rPr>
        <w:t xml:space="preserve"> own </w:t>
      </w:r>
      <w:r w:rsidR="00B35305">
        <w:rPr>
          <w:rFonts w:ascii="Century Gothic" w:hAnsi="Century Gothic" w:cs="Arial"/>
          <w:sz w:val="24"/>
          <w:szCs w:val="24"/>
          <w:lang w:val="af-ZA"/>
        </w:rPr>
        <w:t>100</w:t>
      </w:r>
      <w:r>
        <w:rPr>
          <w:rFonts w:ascii="Century Gothic" w:hAnsi="Century Gothic" w:cs="Arial"/>
          <w:sz w:val="24"/>
          <w:szCs w:val="24"/>
          <w:lang w:val="af-ZA"/>
        </w:rPr>
        <w:t xml:space="preserve">% </w:t>
      </w:r>
      <w:r w:rsidR="00B35305">
        <w:rPr>
          <w:rFonts w:ascii="Century Gothic" w:hAnsi="Century Gothic" w:cs="Arial"/>
          <w:sz w:val="24"/>
          <w:szCs w:val="24"/>
          <w:lang w:val="af-ZA"/>
        </w:rPr>
        <w:t xml:space="preserve"> of the issued </w:t>
      </w:r>
      <w:r>
        <w:rPr>
          <w:rFonts w:ascii="Century Gothic" w:hAnsi="Century Gothic" w:cs="Arial"/>
          <w:sz w:val="24"/>
          <w:szCs w:val="24"/>
          <w:lang w:val="af-ZA"/>
        </w:rPr>
        <w:t>share</w:t>
      </w:r>
      <w:r w:rsidR="006B4BD9">
        <w:rPr>
          <w:rFonts w:ascii="Century Gothic" w:hAnsi="Century Gothic" w:cs="Arial"/>
          <w:sz w:val="24"/>
          <w:szCs w:val="24"/>
          <w:lang w:val="af-ZA"/>
        </w:rPr>
        <w:t xml:space="preserve"> capital</w:t>
      </w:r>
      <w:r>
        <w:rPr>
          <w:rFonts w:ascii="Century Gothic" w:hAnsi="Century Gothic" w:cs="Arial"/>
          <w:sz w:val="24"/>
          <w:szCs w:val="24"/>
          <w:lang w:val="af-ZA"/>
        </w:rPr>
        <w:t xml:space="preserve"> </w:t>
      </w:r>
      <w:r w:rsidR="006B4BD9">
        <w:rPr>
          <w:rFonts w:ascii="Century Gothic" w:hAnsi="Century Gothic" w:cs="Arial"/>
          <w:sz w:val="24"/>
          <w:szCs w:val="24"/>
          <w:lang w:val="af-ZA"/>
        </w:rPr>
        <w:t xml:space="preserve">of </w:t>
      </w:r>
      <w:r w:rsidR="00B35305">
        <w:rPr>
          <w:rFonts w:ascii="Century Gothic" w:hAnsi="Century Gothic" w:cs="Arial"/>
          <w:sz w:val="24"/>
          <w:szCs w:val="24"/>
          <w:lang w:val="af-ZA"/>
        </w:rPr>
        <w:t>SABMiller</w:t>
      </w:r>
      <w:r w:rsidRPr="00C12057">
        <w:rPr>
          <w:rFonts w:ascii="Century Gothic" w:hAnsi="Century Gothic" w:cs="Arial"/>
          <w:sz w:val="24"/>
          <w:szCs w:val="24"/>
          <w:lang w:val="af-ZA"/>
        </w:rPr>
        <w:t xml:space="preserve">. </w:t>
      </w:r>
    </w:p>
    <w:p w:rsidR="00C12057" w:rsidRPr="00C12057" w:rsidRDefault="00C12057" w:rsidP="00C12057">
      <w:pPr>
        <w:jc w:val="both"/>
        <w:rPr>
          <w:rFonts w:ascii="Century Gothic" w:hAnsi="Century Gothic" w:cs="Arial"/>
          <w:sz w:val="24"/>
          <w:szCs w:val="24"/>
          <w:lang w:val="af-ZA"/>
        </w:rPr>
      </w:pPr>
      <w:r w:rsidRPr="00174374">
        <w:rPr>
          <w:rFonts w:ascii="Century Gothic" w:hAnsi="Century Gothic" w:cs="Arial"/>
          <w:sz w:val="24"/>
          <w:szCs w:val="24"/>
          <w:lang w:val="af-ZA"/>
        </w:rPr>
        <w:t>Any questions on the above</w:t>
      </w:r>
      <w:r w:rsidR="00640C5E">
        <w:rPr>
          <w:rFonts w:ascii="Century Gothic" w:hAnsi="Century Gothic" w:cs="Arial"/>
          <w:sz w:val="24"/>
          <w:szCs w:val="24"/>
          <w:lang w:val="af-ZA"/>
        </w:rPr>
        <w:t>-</w:t>
      </w:r>
      <w:r w:rsidRPr="00174374">
        <w:rPr>
          <w:rFonts w:ascii="Century Gothic" w:hAnsi="Century Gothic" w:cs="Arial"/>
          <w:sz w:val="24"/>
          <w:szCs w:val="24"/>
          <w:lang w:val="af-ZA"/>
        </w:rPr>
        <w:t xml:space="preserve">mentioned hearing may </w:t>
      </w:r>
      <w:r w:rsidRPr="00C12057">
        <w:rPr>
          <w:rFonts w:ascii="Century Gothic" w:hAnsi="Century Gothic" w:cs="Arial"/>
          <w:sz w:val="24"/>
          <w:szCs w:val="24"/>
          <w:lang w:val="af-ZA"/>
        </w:rPr>
        <w:t xml:space="preserve">be directed to:- </w:t>
      </w:r>
    </w:p>
    <w:p w:rsidR="00C12057" w:rsidRPr="00E818C5" w:rsidRDefault="00C12057" w:rsidP="00C12057">
      <w:pPr>
        <w:jc w:val="both"/>
        <w:rPr>
          <w:rFonts w:ascii="Century Gothic" w:hAnsi="Century Gothic" w:cs="Arial"/>
          <w:sz w:val="24"/>
          <w:szCs w:val="24"/>
          <w:lang w:val="af-ZA"/>
        </w:rPr>
      </w:pPr>
      <w:r w:rsidRPr="00E818C5">
        <w:rPr>
          <w:rFonts w:ascii="Century Gothic" w:hAnsi="Century Gothic" w:cs="Arial"/>
          <w:sz w:val="24"/>
          <w:szCs w:val="24"/>
          <w:lang w:val="af-ZA"/>
        </w:rPr>
        <w:t xml:space="preserve">Director, Mergers and Monopolies, The Competition Authority, P/Bag 00101, Gaborone, Plot 28, Matsitama Road, Tel: 3934278 Fax: 3121013 </w:t>
      </w:r>
    </w:p>
    <w:p w:rsidR="00F719DB" w:rsidRPr="00E818C5" w:rsidRDefault="00C12057" w:rsidP="00C12057">
      <w:pPr>
        <w:jc w:val="both"/>
        <w:rPr>
          <w:rFonts w:ascii="Century Gothic" w:hAnsi="Century Gothic" w:cs="Arial"/>
          <w:sz w:val="24"/>
          <w:szCs w:val="24"/>
          <w:lang w:val="af-ZA"/>
        </w:rPr>
      </w:pPr>
      <w:r w:rsidRPr="00E818C5">
        <w:rPr>
          <w:rFonts w:ascii="Century Gothic" w:hAnsi="Century Gothic" w:cs="Arial"/>
          <w:sz w:val="24"/>
          <w:szCs w:val="24"/>
          <w:lang w:val="af-ZA"/>
        </w:rPr>
        <w:t>Email: magdeline@</w:t>
      </w:r>
      <w:r w:rsidR="00A12F67">
        <w:rPr>
          <w:rFonts w:ascii="Century Gothic" w:hAnsi="Century Gothic" w:cs="Arial"/>
          <w:sz w:val="24"/>
          <w:szCs w:val="24"/>
          <w:lang w:val="af-ZA"/>
        </w:rPr>
        <w:t>orangemail.co.bw</w:t>
      </w:r>
    </w:p>
    <w:p w:rsidR="00F719DB" w:rsidRPr="00E818C5" w:rsidRDefault="00F719DB" w:rsidP="00C12057">
      <w:pPr>
        <w:jc w:val="both"/>
      </w:pPr>
    </w:p>
    <w:p w:rsidR="00F719DB" w:rsidRDefault="00F719DB" w:rsidP="00C12057">
      <w:pPr>
        <w:jc w:val="both"/>
      </w:pPr>
    </w:p>
    <w:p w:rsidR="00F719DB" w:rsidRDefault="00F719DB" w:rsidP="00C12057">
      <w:pPr>
        <w:jc w:val="both"/>
      </w:pPr>
    </w:p>
    <w:sectPr w:rsidR="00F719DB" w:rsidSect="00617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47"/>
    <w:rsid w:val="00025B0B"/>
    <w:rsid w:val="000A2268"/>
    <w:rsid w:val="00174374"/>
    <w:rsid w:val="00260E89"/>
    <w:rsid w:val="002D15E2"/>
    <w:rsid w:val="002D494D"/>
    <w:rsid w:val="002F2522"/>
    <w:rsid w:val="003047D5"/>
    <w:rsid w:val="00371EF6"/>
    <w:rsid w:val="003D14FE"/>
    <w:rsid w:val="004A5847"/>
    <w:rsid w:val="004B4AF0"/>
    <w:rsid w:val="004C6632"/>
    <w:rsid w:val="004F3FEE"/>
    <w:rsid w:val="00516372"/>
    <w:rsid w:val="00532968"/>
    <w:rsid w:val="005C5FC1"/>
    <w:rsid w:val="005F31F0"/>
    <w:rsid w:val="0061732F"/>
    <w:rsid w:val="00640C5E"/>
    <w:rsid w:val="00684D58"/>
    <w:rsid w:val="00691237"/>
    <w:rsid w:val="006B4BD9"/>
    <w:rsid w:val="006F07B9"/>
    <w:rsid w:val="00782BF0"/>
    <w:rsid w:val="00824578"/>
    <w:rsid w:val="00833321"/>
    <w:rsid w:val="00885D5E"/>
    <w:rsid w:val="008D2FAB"/>
    <w:rsid w:val="008E360A"/>
    <w:rsid w:val="009028C8"/>
    <w:rsid w:val="009075D0"/>
    <w:rsid w:val="009E0FED"/>
    <w:rsid w:val="009E4CA6"/>
    <w:rsid w:val="00A12F67"/>
    <w:rsid w:val="00A83A4B"/>
    <w:rsid w:val="00AB304E"/>
    <w:rsid w:val="00AF4277"/>
    <w:rsid w:val="00B35305"/>
    <w:rsid w:val="00B63C95"/>
    <w:rsid w:val="00B7549E"/>
    <w:rsid w:val="00B9105D"/>
    <w:rsid w:val="00BC32D8"/>
    <w:rsid w:val="00BC625A"/>
    <w:rsid w:val="00C12057"/>
    <w:rsid w:val="00C878FD"/>
    <w:rsid w:val="00C92FF5"/>
    <w:rsid w:val="00D139B2"/>
    <w:rsid w:val="00D3185F"/>
    <w:rsid w:val="00E24438"/>
    <w:rsid w:val="00E2689D"/>
    <w:rsid w:val="00E4384A"/>
    <w:rsid w:val="00E778A2"/>
    <w:rsid w:val="00E818C5"/>
    <w:rsid w:val="00F26AF3"/>
    <w:rsid w:val="00F719DB"/>
    <w:rsid w:val="00FC2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47"/>
    <w:rPr>
      <w:rFonts w:ascii="Tahoma" w:hAnsi="Tahoma" w:cs="Tahoma"/>
      <w:sz w:val="16"/>
      <w:szCs w:val="16"/>
    </w:rPr>
  </w:style>
  <w:style w:type="character" w:styleId="CommentReference">
    <w:name w:val="annotation reference"/>
    <w:basedOn w:val="DefaultParagraphFont"/>
    <w:uiPriority w:val="99"/>
    <w:semiHidden/>
    <w:unhideWhenUsed/>
    <w:rsid w:val="002F2522"/>
    <w:rPr>
      <w:sz w:val="16"/>
      <w:szCs w:val="16"/>
    </w:rPr>
  </w:style>
  <w:style w:type="paragraph" w:styleId="CommentText">
    <w:name w:val="annotation text"/>
    <w:basedOn w:val="Normal"/>
    <w:link w:val="CommentTextChar"/>
    <w:uiPriority w:val="99"/>
    <w:semiHidden/>
    <w:unhideWhenUsed/>
    <w:rsid w:val="002F2522"/>
    <w:pPr>
      <w:spacing w:line="240" w:lineRule="auto"/>
    </w:pPr>
    <w:rPr>
      <w:sz w:val="20"/>
      <w:szCs w:val="20"/>
    </w:rPr>
  </w:style>
  <w:style w:type="character" w:customStyle="1" w:styleId="CommentTextChar">
    <w:name w:val="Comment Text Char"/>
    <w:basedOn w:val="DefaultParagraphFont"/>
    <w:link w:val="CommentText"/>
    <w:uiPriority w:val="99"/>
    <w:semiHidden/>
    <w:rsid w:val="002F2522"/>
    <w:rPr>
      <w:sz w:val="20"/>
      <w:szCs w:val="20"/>
    </w:rPr>
  </w:style>
  <w:style w:type="paragraph" w:styleId="CommentSubject">
    <w:name w:val="annotation subject"/>
    <w:basedOn w:val="CommentText"/>
    <w:next w:val="CommentText"/>
    <w:link w:val="CommentSubjectChar"/>
    <w:uiPriority w:val="99"/>
    <w:semiHidden/>
    <w:unhideWhenUsed/>
    <w:rsid w:val="002F2522"/>
    <w:rPr>
      <w:b/>
      <w:bCs/>
    </w:rPr>
  </w:style>
  <w:style w:type="character" w:customStyle="1" w:styleId="CommentSubjectChar">
    <w:name w:val="Comment Subject Char"/>
    <w:basedOn w:val="CommentTextChar"/>
    <w:link w:val="CommentSubject"/>
    <w:uiPriority w:val="99"/>
    <w:semiHidden/>
    <w:rsid w:val="002F25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47"/>
    <w:rPr>
      <w:rFonts w:ascii="Tahoma" w:hAnsi="Tahoma" w:cs="Tahoma"/>
      <w:sz w:val="16"/>
      <w:szCs w:val="16"/>
    </w:rPr>
  </w:style>
  <w:style w:type="character" w:styleId="CommentReference">
    <w:name w:val="annotation reference"/>
    <w:basedOn w:val="DefaultParagraphFont"/>
    <w:uiPriority w:val="99"/>
    <w:semiHidden/>
    <w:unhideWhenUsed/>
    <w:rsid w:val="002F2522"/>
    <w:rPr>
      <w:sz w:val="16"/>
      <w:szCs w:val="16"/>
    </w:rPr>
  </w:style>
  <w:style w:type="paragraph" w:styleId="CommentText">
    <w:name w:val="annotation text"/>
    <w:basedOn w:val="Normal"/>
    <w:link w:val="CommentTextChar"/>
    <w:uiPriority w:val="99"/>
    <w:semiHidden/>
    <w:unhideWhenUsed/>
    <w:rsid w:val="002F2522"/>
    <w:pPr>
      <w:spacing w:line="240" w:lineRule="auto"/>
    </w:pPr>
    <w:rPr>
      <w:sz w:val="20"/>
      <w:szCs w:val="20"/>
    </w:rPr>
  </w:style>
  <w:style w:type="character" w:customStyle="1" w:styleId="CommentTextChar">
    <w:name w:val="Comment Text Char"/>
    <w:basedOn w:val="DefaultParagraphFont"/>
    <w:link w:val="CommentText"/>
    <w:uiPriority w:val="99"/>
    <w:semiHidden/>
    <w:rsid w:val="002F2522"/>
    <w:rPr>
      <w:sz w:val="20"/>
      <w:szCs w:val="20"/>
    </w:rPr>
  </w:style>
  <w:style w:type="paragraph" w:styleId="CommentSubject">
    <w:name w:val="annotation subject"/>
    <w:basedOn w:val="CommentText"/>
    <w:next w:val="CommentText"/>
    <w:link w:val="CommentSubjectChar"/>
    <w:uiPriority w:val="99"/>
    <w:semiHidden/>
    <w:unhideWhenUsed/>
    <w:rsid w:val="002F2522"/>
    <w:rPr>
      <w:b/>
      <w:bCs/>
    </w:rPr>
  </w:style>
  <w:style w:type="character" w:customStyle="1" w:styleId="CommentSubjectChar">
    <w:name w:val="Comment Subject Char"/>
    <w:basedOn w:val="CommentTextChar"/>
    <w:link w:val="CommentSubject"/>
    <w:uiPriority w:val="99"/>
    <w:semiHidden/>
    <w:rsid w:val="002F25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CAadmin</dc:creator>
  <cp:lastModifiedBy>Kelebogile Ngwenya</cp:lastModifiedBy>
  <cp:revision>2</cp:revision>
  <cp:lastPrinted>2012-03-02T05:50:00Z</cp:lastPrinted>
  <dcterms:created xsi:type="dcterms:W3CDTF">2016-03-24T09:35:00Z</dcterms:created>
  <dcterms:modified xsi:type="dcterms:W3CDTF">2016-03-24T09:35:00Z</dcterms:modified>
</cp:coreProperties>
</file>